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BDB25" w14:textId="2FF66A3D" w:rsidR="002213CC" w:rsidRPr="00DD3766" w:rsidRDefault="008175C5">
      <w:pPr>
        <w:rPr>
          <w:rFonts w:ascii="Tahoma" w:hAnsi="Tahoma" w:cs="Tahoma"/>
          <w:b/>
          <w:sz w:val="28"/>
          <w:szCs w:val="28"/>
          <w:u w:val="single"/>
        </w:rPr>
      </w:pPr>
      <w:r w:rsidRPr="00DD3766">
        <w:rPr>
          <w:rFonts w:ascii="Tahoma" w:hAnsi="Tahoma" w:cs="Tahoma"/>
          <w:b/>
          <w:sz w:val="28"/>
          <w:szCs w:val="28"/>
          <w:u w:val="single"/>
        </w:rPr>
        <w:t xml:space="preserve"> CLIMATE FINANCE CO</w:t>
      </w:r>
      <w:r w:rsidR="00093C16" w:rsidRPr="00DD3766">
        <w:rPr>
          <w:rFonts w:ascii="Tahoma" w:hAnsi="Tahoma" w:cs="Tahoma"/>
          <w:b/>
          <w:sz w:val="28"/>
          <w:szCs w:val="28"/>
          <w:u w:val="single"/>
        </w:rPr>
        <w:t>O</w:t>
      </w:r>
      <w:r w:rsidRPr="00DD3766">
        <w:rPr>
          <w:rFonts w:ascii="Tahoma" w:hAnsi="Tahoma" w:cs="Tahoma"/>
          <w:b/>
          <w:sz w:val="28"/>
          <w:szCs w:val="28"/>
          <w:u w:val="single"/>
        </w:rPr>
        <w:t>RDINATION</w:t>
      </w:r>
    </w:p>
    <w:p w14:paraId="3013054A" w14:textId="7DFBFF8F" w:rsidR="00A506F8" w:rsidRPr="004A1776" w:rsidRDefault="00E11023" w:rsidP="004A1776">
      <w:pPr>
        <w:spacing w:after="0"/>
        <w:rPr>
          <w:rFonts w:ascii="Tahoma" w:hAnsi="Tahoma" w:cs="Tahoma"/>
          <w:sz w:val="28"/>
          <w:szCs w:val="28"/>
          <w:lang w:val="en-GB" w:eastAsia="x-none"/>
        </w:rPr>
      </w:pPr>
      <w:r w:rsidRPr="004A1776">
        <w:rPr>
          <w:rFonts w:ascii="Tahoma" w:hAnsi="Tahoma" w:cs="Tahoma"/>
          <w:sz w:val="28"/>
          <w:szCs w:val="28"/>
        </w:rPr>
        <w:t>Climate Finance Coordination</w:t>
      </w:r>
      <w:r w:rsidR="00605D0D" w:rsidRPr="004A1776">
        <w:rPr>
          <w:rFonts w:ascii="Tahoma" w:hAnsi="Tahoma" w:cs="Tahoma"/>
          <w:sz w:val="28"/>
          <w:szCs w:val="28"/>
        </w:rPr>
        <w:t xml:space="preserve"> is the</w:t>
      </w:r>
      <w:r w:rsidR="00123998" w:rsidRPr="004A1776">
        <w:rPr>
          <w:rFonts w:ascii="Tahoma" w:hAnsi="Tahoma" w:cs="Tahoma"/>
          <w:sz w:val="28"/>
          <w:szCs w:val="28"/>
        </w:rPr>
        <w:t xml:space="preserve"> responsibility of the</w:t>
      </w:r>
      <w:r w:rsidR="001801D9" w:rsidRPr="004A1776">
        <w:rPr>
          <w:rFonts w:ascii="Tahoma" w:hAnsi="Tahoma" w:cs="Tahoma"/>
          <w:sz w:val="28"/>
          <w:szCs w:val="28"/>
        </w:rPr>
        <w:t xml:space="preserve"> Ministry of Finance Planning and Economic Development (</w:t>
      </w:r>
      <w:r w:rsidR="001801D9" w:rsidRPr="004A1776">
        <w:rPr>
          <w:rFonts w:ascii="Tahoma" w:hAnsi="Tahoma" w:cs="Tahoma"/>
          <w:sz w:val="28"/>
          <w:szCs w:val="28"/>
          <w:lang w:val="en-GB" w:eastAsia="x-none"/>
        </w:rPr>
        <w:t>M</w:t>
      </w:r>
      <w:r w:rsidR="00605D0D" w:rsidRPr="004A1776">
        <w:rPr>
          <w:rFonts w:ascii="Tahoma" w:hAnsi="Tahoma" w:cs="Tahoma"/>
          <w:sz w:val="28"/>
          <w:szCs w:val="28"/>
          <w:lang w:val="en-GB" w:eastAsia="x-none"/>
        </w:rPr>
        <w:t>o</w:t>
      </w:r>
      <w:r w:rsidR="001801D9" w:rsidRPr="004A1776">
        <w:rPr>
          <w:rFonts w:ascii="Tahoma" w:hAnsi="Tahoma" w:cs="Tahoma"/>
          <w:sz w:val="28"/>
          <w:szCs w:val="28"/>
          <w:lang w:val="en-GB" w:eastAsia="x-none"/>
        </w:rPr>
        <w:t>FPED</w:t>
      </w:r>
      <w:r w:rsidR="001801D9" w:rsidRPr="004A1776">
        <w:rPr>
          <w:rFonts w:ascii="Tahoma" w:hAnsi="Tahoma" w:cs="Tahoma"/>
          <w:sz w:val="28"/>
          <w:szCs w:val="28"/>
        </w:rPr>
        <w:t xml:space="preserve">) </w:t>
      </w:r>
      <w:r w:rsidR="00FC39CA" w:rsidRPr="004A1776">
        <w:rPr>
          <w:rFonts w:ascii="Tahoma" w:hAnsi="Tahoma" w:cs="Tahoma"/>
          <w:sz w:val="28"/>
          <w:szCs w:val="28"/>
        </w:rPr>
        <w:t>which manages the various stakeholders in the financing of Climate Change actions in Uganda.</w:t>
      </w:r>
      <w:r w:rsidR="00A506F8" w:rsidRPr="004A1776">
        <w:rPr>
          <w:rFonts w:ascii="Tahoma" w:hAnsi="Tahoma" w:cs="Tahoma"/>
          <w:sz w:val="28"/>
          <w:szCs w:val="28"/>
        </w:rPr>
        <w:t xml:space="preserve"> </w:t>
      </w:r>
      <w:r w:rsidR="00A506F8" w:rsidRPr="004A1776">
        <w:rPr>
          <w:rFonts w:ascii="Tahoma" w:hAnsi="Tahoma" w:cs="Tahoma"/>
          <w:sz w:val="28"/>
          <w:szCs w:val="28"/>
          <w:lang w:val="en-GB" w:eastAsia="x-none"/>
        </w:rPr>
        <w:t>The M</w:t>
      </w:r>
      <w:r w:rsidR="00605D0D" w:rsidRPr="004A1776">
        <w:rPr>
          <w:rFonts w:ascii="Tahoma" w:hAnsi="Tahoma" w:cs="Tahoma"/>
          <w:sz w:val="28"/>
          <w:szCs w:val="28"/>
          <w:lang w:val="en-GB" w:eastAsia="x-none"/>
        </w:rPr>
        <w:t>o</w:t>
      </w:r>
      <w:r w:rsidR="00A506F8" w:rsidRPr="004A1776">
        <w:rPr>
          <w:rFonts w:ascii="Tahoma" w:hAnsi="Tahoma" w:cs="Tahoma"/>
          <w:sz w:val="28"/>
          <w:szCs w:val="28"/>
          <w:lang w:val="en-GB" w:eastAsia="x-none"/>
        </w:rPr>
        <w:t>FPED is the National Designated Authority (NDA) for the Green Climate Fund and other climate change funds.</w:t>
      </w:r>
    </w:p>
    <w:p w14:paraId="64BEC278" w14:textId="77777777" w:rsidR="001801D9" w:rsidRPr="00DD3766" w:rsidRDefault="001801D9" w:rsidP="00564B21">
      <w:pPr>
        <w:pStyle w:val="ListParagraph"/>
        <w:spacing w:after="0"/>
        <w:ind w:left="360"/>
        <w:rPr>
          <w:rFonts w:ascii="Tahoma" w:hAnsi="Tahoma" w:cs="Tahoma"/>
          <w:sz w:val="28"/>
          <w:szCs w:val="28"/>
        </w:rPr>
      </w:pPr>
    </w:p>
    <w:p w14:paraId="05376697" w14:textId="77777777" w:rsidR="00CB7407" w:rsidRPr="00DD3766" w:rsidRDefault="00CB7407" w:rsidP="00CB7407">
      <w:pPr>
        <w:widowControl w:val="0"/>
        <w:autoSpaceDE w:val="0"/>
        <w:autoSpaceDN w:val="0"/>
        <w:adjustRightInd w:val="0"/>
        <w:spacing w:after="240" w:line="240" w:lineRule="auto"/>
        <w:jc w:val="both"/>
        <w:rPr>
          <w:rFonts w:ascii="Tahoma" w:hAnsi="Tahoma" w:cs="Tahoma"/>
          <w:sz w:val="28"/>
          <w:szCs w:val="28"/>
          <w:lang w:val="en-GB"/>
        </w:rPr>
      </w:pPr>
      <w:r w:rsidRPr="00DD3766">
        <w:rPr>
          <w:rFonts w:ascii="Tahoma" w:hAnsi="Tahoma" w:cs="Tahoma"/>
          <w:sz w:val="28"/>
          <w:szCs w:val="28"/>
          <w:lang w:val="en-GB" w:eastAsia="x-none"/>
        </w:rPr>
        <w:t>To support the work of the M</w:t>
      </w:r>
      <w:r w:rsidR="007977C3">
        <w:rPr>
          <w:rFonts w:ascii="Tahoma" w:hAnsi="Tahoma" w:cs="Tahoma"/>
          <w:sz w:val="28"/>
          <w:szCs w:val="28"/>
          <w:lang w:val="en-GB" w:eastAsia="x-none"/>
        </w:rPr>
        <w:t>o</w:t>
      </w:r>
      <w:r w:rsidRPr="00DD3766">
        <w:rPr>
          <w:rFonts w:ascii="Tahoma" w:hAnsi="Tahoma" w:cs="Tahoma"/>
          <w:sz w:val="28"/>
          <w:szCs w:val="28"/>
          <w:lang w:val="en-GB" w:eastAsia="x-none"/>
        </w:rPr>
        <w:t xml:space="preserve">FPED/NDA an Inter-Ministerial Steering Committee (ISC) composed of twelve members has been set up. The </w:t>
      </w:r>
      <w:r w:rsidR="00CE2165">
        <w:rPr>
          <w:rFonts w:ascii="Tahoma" w:hAnsi="Tahoma" w:cs="Tahoma"/>
          <w:sz w:val="28"/>
          <w:szCs w:val="28"/>
          <w:lang w:val="en-GB" w:eastAsia="x-none"/>
        </w:rPr>
        <w:t>C</w:t>
      </w:r>
      <w:r w:rsidRPr="00DD3766">
        <w:rPr>
          <w:rFonts w:ascii="Tahoma" w:hAnsi="Tahoma" w:cs="Tahoma"/>
          <w:sz w:val="28"/>
          <w:szCs w:val="28"/>
          <w:lang w:val="en-GB" w:eastAsia="x-none"/>
        </w:rPr>
        <w:t>ommittee members represent relevant government MDAs, private sector, academia and CSOs. The ISC is to serve in an advisory role, provide policy guidance and ensure that there is a country drive</w:t>
      </w:r>
      <w:r w:rsidR="00DA5BA5" w:rsidRPr="00DD3766">
        <w:rPr>
          <w:rFonts w:ascii="Tahoma" w:hAnsi="Tahoma" w:cs="Tahoma"/>
          <w:sz w:val="28"/>
          <w:szCs w:val="28"/>
          <w:lang w:val="en-GB" w:eastAsia="x-none"/>
        </w:rPr>
        <w:t>n approach in the GCF processes</w:t>
      </w:r>
      <w:r w:rsidRPr="00DD3766">
        <w:rPr>
          <w:rFonts w:ascii="Tahoma" w:hAnsi="Tahoma" w:cs="Tahoma"/>
          <w:sz w:val="28"/>
          <w:szCs w:val="28"/>
          <w:lang w:val="en-GB" w:eastAsia="x-none"/>
        </w:rPr>
        <w:t>. It is expected to meet twice a year and as and when called upon by the M</w:t>
      </w:r>
      <w:r w:rsidR="007977C3">
        <w:rPr>
          <w:rFonts w:ascii="Tahoma" w:hAnsi="Tahoma" w:cs="Tahoma"/>
          <w:sz w:val="28"/>
          <w:szCs w:val="28"/>
          <w:lang w:val="en-GB" w:eastAsia="x-none"/>
        </w:rPr>
        <w:t>o</w:t>
      </w:r>
      <w:r w:rsidRPr="00DD3766">
        <w:rPr>
          <w:rFonts w:ascii="Tahoma" w:hAnsi="Tahoma" w:cs="Tahoma"/>
          <w:sz w:val="28"/>
          <w:szCs w:val="28"/>
          <w:lang w:val="en-GB" w:eastAsia="x-none"/>
        </w:rPr>
        <w:t>FPED/NDA.</w:t>
      </w:r>
      <w:r w:rsidRPr="00DD3766">
        <w:rPr>
          <w:rFonts w:ascii="Tahoma" w:hAnsi="Tahoma" w:cs="Tahoma"/>
          <w:sz w:val="28"/>
          <w:szCs w:val="28"/>
          <w:lang w:val="en-GB"/>
        </w:rPr>
        <w:t xml:space="preserve"> </w:t>
      </w:r>
    </w:p>
    <w:p w14:paraId="39675F09" w14:textId="77777777" w:rsidR="00CB7407" w:rsidRPr="00DD3766" w:rsidRDefault="004F4052" w:rsidP="00CB7407">
      <w:pPr>
        <w:widowControl w:val="0"/>
        <w:autoSpaceDE w:val="0"/>
        <w:autoSpaceDN w:val="0"/>
        <w:adjustRightInd w:val="0"/>
        <w:spacing w:after="240" w:line="240" w:lineRule="auto"/>
        <w:jc w:val="both"/>
        <w:rPr>
          <w:rFonts w:ascii="Tahoma" w:hAnsi="Tahoma" w:cs="Tahoma"/>
          <w:sz w:val="28"/>
          <w:szCs w:val="28"/>
          <w:lang w:val="en-GB"/>
        </w:rPr>
      </w:pPr>
      <w:r>
        <w:rPr>
          <w:rFonts w:ascii="Tahoma" w:hAnsi="Tahoma" w:cs="Tahoma"/>
          <w:sz w:val="28"/>
          <w:szCs w:val="28"/>
          <w:lang w:val="en-GB"/>
        </w:rPr>
        <w:t>A Technical Sub-C</w:t>
      </w:r>
      <w:r w:rsidR="00CB7407" w:rsidRPr="00DD3766">
        <w:rPr>
          <w:rFonts w:ascii="Tahoma" w:hAnsi="Tahoma" w:cs="Tahoma"/>
          <w:sz w:val="28"/>
          <w:szCs w:val="28"/>
          <w:lang w:val="en-GB"/>
        </w:rPr>
        <w:t>ommittee (TC) of the ISC will be appointed as and when required and its chair and members will depend on the issues/subjects to be discussed. The major role of the TC is to provide technical inputs and guidance to the ISC, the NDA and other stakeholders on matters related to the climate change finance in general and accessing finance from the Green Climate Fund and other sources in particular. The TC shall be knowledgeable in matters of project cycle analysis. The TC is not a permanent feature of the governance structure and will be set up as and when needed.  Membership will depend on the subject matter to be handled.</w:t>
      </w:r>
    </w:p>
    <w:p w14:paraId="4DB5AE3E" w14:textId="77777777" w:rsidR="00CB7407" w:rsidRPr="00DD3766" w:rsidRDefault="00CB7407" w:rsidP="00DD3766">
      <w:pPr>
        <w:rPr>
          <w:rFonts w:ascii="Tahoma" w:hAnsi="Tahoma" w:cs="Tahoma"/>
          <w:b/>
          <w:sz w:val="28"/>
          <w:szCs w:val="28"/>
        </w:rPr>
      </w:pPr>
    </w:p>
    <w:p w14:paraId="4DEA4F6C" w14:textId="77777777" w:rsidR="00BC2CE8" w:rsidRPr="00DD3766" w:rsidRDefault="00BC2CE8" w:rsidP="00DD3766">
      <w:pPr>
        <w:rPr>
          <w:rFonts w:ascii="Tahoma" w:hAnsi="Tahoma" w:cs="Tahoma"/>
          <w:b/>
          <w:sz w:val="28"/>
          <w:szCs w:val="28"/>
        </w:rPr>
      </w:pPr>
      <w:bookmarkStart w:id="0" w:name="_Toc44065145"/>
      <w:r w:rsidRPr="00DD3766">
        <w:rPr>
          <w:rFonts w:ascii="Tahoma" w:hAnsi="Tahoma" w:cs="Tahoma"/>
          <w:b/>
          <w:sz w:val="28"/>
          <w:szCs w:val="28"/>
        </w:rPr>
        <w:t>GOVERNANCE STRUCTURE OF UGANDA’S NATIONAL DESIGNATED AUTHORITY (NDA)</w:t>
      </w:r>
      <w:bookmarkEnd w:id="0"/>
      <w:r w:rsidRPr="00DD3766">
        <w:rPr>
          <w:rFonts w:ascii="Tahoma" w:hAnsi="Tahoma" w:cs="Tahoma"/>
          <w:b/>
          <w:sz w:val="28"/>
          <w:szCs w:val="28"/>
        </w:rPr>
        <w:t xml:space="preserve"> </w:t>
      </w:r>
    </w:p>
    <w:p w14:paraId="30F5C657" w14:textId="77777777" w:rsidR="00BC2CE8" w:rsidRPr="00DD3766" w:rsidRDefault="00BC2CE8" w:rsidP="009C7C21">
      <w:pPr>
        <w:pStyle w:val="Heading2"/>
        <w:numPr>
          <w:ilvl w:val="0"/>
          <w:numId w:val="0"/>
        </w:numPr>
        <w:spacing w:line="240" w:lineRule="auto"/>
        <w:ind w:left="576"/>
        <w:rPr>
          <w:rFonts w:ascii="Tahoma" w:hAnsi="Tahoma" w:cs="Tahoma"/>
          <w:i w:val="0"/>
        </w:rPr>
      </w:pPr>
      <w:bookmarkStart w:id="1" w:name="_Toc44065146"/>
      <w:r w:rsidRPr="00DD3766">
        <w:rPr>
          <w:rFonts w:ascii="Tahoma" w:hAnsi="Tahoma" w:cs="Tahoma"/>
          <w:i w:val="0"/>
        </w:rPr>
        <w:t>Governance principles of the Uganda GCF NDA</w:t>
      </w:r>
      <w:bookmarkEnd w:id="1"/>
      <w:r w:rsidRPr="00DD3766">
        <w:rPr>
          <w:rFonts w:ascii="Tahoma" w:hAnsi="Tahoma" w:cs="Tahoma"/>
          <w:i w:val="0"/>
        </w:rPr>
        <w:t xml:space="preserve"> </w:t>
      </w:r>
    </w:p>
    <w:p w14:paraId="5FC6C4DB" w14:textId="77777777" w:rsidR="00BC2CE8" w:rsidRPr="00DD3766" w:rsidRDefault="00BC2CE8" w:rsidP="00BC2CE8">
      <w:pPr>
        <w:spacing w:line="240" w:lineRule="auto"/>
        <w:jc w:val="both"/>
        <w:rPr>
          <w:rFonts w:ascii="Tahoma" w:hAnsi="Tahoma" w:cs="Tahoma"/>
          <w:sz w:val="28"/>
          <w:szCs w:val="28"/>
        </w:rPr>
      </w:pPr>
      <w:r w:rsidRPr="00DD3766">
        <w:rPr>
          <w:rFonts w:ascii="Tahoma" w:hAnsi="Tahoma" w:cs="Tahoma"/>
          <w:sz w:val="28"/>
          <w:szCs w:val="28"/>
        </w:rPr>
        <w:t xml:space="preserve">The operations of the governance structure of Uganda’s NDA is to be guided by principles set by the GCF Board in alignment with national development priorities. </w:t>
      </w:r>
    </w:p>
    <w:p w14:paraId="5EC46554" w14:textId="77777777" w:rsidR="004A1776" w:rsidRDefault="004A1776" w:rsidP="00BC2CE8">
      <w:pPr>
        <w:spacing w:line="240" w:lineRule="auto"/>
        <w:jc w:val="both"/>
        <w:rPr>
          <w:rFonts w:ascii="Tahoma" w:hAnsi="Tahoma" w:cs="Tahoma"/>
          <w:b/>
          <w:sz w:val="28"/>
          <w:szCs w:val="28"/>
        </w:rPr>
      </w:pPr>
    </w:p>
    <w:p w14:paraId="677AE9D0" w14:textId="1B56749D" w:rsidR="00BC2CE8" w:rsidRPr="00DD3766" w:rsidRDefault="00BC2CE8" w:rsidP="00BC2CE8">
      <w:pPr>
        <w:spacing w:line="240" w:lineRule="auto"/>
        <w:jc w:val="both"/>
        <w:rPr>
          <w:rFonts w:ascii="Tahoma" w:hAnsi="Tahoma" w:cs="Tahoma"/>
          <w:b/>
          <w:sz w:val="28"/>
          <w:szCs w:val="28"/>
        </w:rPr>
      </w:pPr>
      <w:r w:rsidRPr="00DD3766">
        <w:rPr>
          <w:rFonts w:ascii="Tahoma" w:hAnsi="Tahoma" w:cs="Tahoma"/>
          <w:b/>
          <w:sz w:val="28"/>
          <w:szCs w:val="28"/>
        </w:rPr>
        <w:lastRenderedPageBreak/>
        <w:t>Multi-stakeholder Body</w:t>
      </w:r>
    </w:p>
    <w:p w14:paraId="2795235C" w14:textId="77777777" w:rsidR="004A1776" w:rsidRDefault="00BC2CE8" w:rsidP="004A1776">
      <w:pPr>
        <w:widowControl w:val="0"/>
        <w:autoSpaceDE w:val="0"/>
        <w:autoSpaceDN w:val="0"/>
        <w:adjustRightInd w:val="0"/>
        <w:spacing w:after="240" w:line="240" w:lineRule="auto"/>
        <w:jc w:val="both"/>
        <w:rPr>
          <w:rFonts w:ascii="Tahoma" w:hAnsi="Tahoma" w:cs="Tahoma"/>
          <w:sz w:val="28"/>
          <w:szCs w:val="28"/>
          <w:lang w:val="en-GB"/>
        </w:rPr>
      </w:pPr>
      <w:r w:rsidRPr="00DD3766">
        <w:rPr>
          <w:rFonts w:ascii="Tahoma" w:hAnsi="Tahoma" w:cs="Tahoma"/>
          <w:sz w:val="28"/>
          <w:szCs w:val="28"/>
          <w:lang w:val="en-GB"/>
        </w:rPr>
        <w:t>The governance structure is to be composed of key stakeholders related to climate responsive actions, with a stake in climate change finance processes.  It will be under the leadership of the M</w:t>
      </w:r>
      <w:r w:rsidR="007977C3">
        <w:rPr>
          <w:rFonts w:ascii="Tahoma" w:hAnsi="Tahoma" w:cs="Tahoma"/>
          <w:sz w:val="28"/>
          <w:szCs w:val="28"/>
          <w:lang w:val="en-GB"/>
        </w:rPr>
        <w:t>o</w:t>
      </w:r>
      <w:r w:rsidRPr="00DD3766">
        <w:rPr>
          <w:rFonts w:ascii="Tahoma" w:hAnsi="Tahoma" w:cs="Tahoma"/>
          <w:sz w:val="28"/>
          <w:szCs w:val="28"/>
          <w:lang w:val="en-GB"/>
        </w:rPr>
        <w:t>FPED, which is also the mandated ministry for planning, budgeting and fiscal policy. The structure is to be of a multi-stakeholder nature, composed of representatives from relevant government Ministries, Departments and Agencies (MDAs), Civil Society Organizations (CSOs), private sector and academia, in line with the GCF guidelines. This is to help achieve ownership by the relevant stakeholders.  It is to be based on consultative processes and engagements thus bringing about synergy between GCF and other climate financing mechanisms for climate responsive action in the country.</w:t>
      </w:r>
      <w:bookmarkStart w:id="2" w:name="_Toc44065147"/>
      <w:bookmarkStart w:id="3" w:name="_GoBack"/>
      <w:bookmarkEnd w:id="3"/>
    </w:p>
    <w:p w14:paraId="5791C0C3" w14:textId="26806AFD" w:rsidR="00BC2CE8" w:rsidRPr="004A1776" w:rsidRDefault="00BC2CE8" w:rsidP="004A1776">
      <w:pPr>
        <w:spacing w:line="240" w:lineRule="auto"/>
        <w:jc w:val="both"/>
        <w:rPr>
          <w:rFonts w:ascii="Tahoma" w:hAnsi="Tahoma" w:cs="Tahoma"/>
          <w:b/>
          <w:sz w:val="28"/>
          <w:szCs w:val="28"/>
        </w:rPr>
      </w:pPr>
      <w:r w:rsidRPr="004A1776">
        <w:rPr>
          <w:rFonts w:ascii="Tahoma" w:hAnsi="Tahoma" w:cs="Tahoma"/>
          <w:b/>
          <w:sz w:val="28"/>
          <w:szCs w:val="28"/>
        </w:rPr>
        <w:t>Country Driven Approach</w:t>
      </w:r>
      <w:bookmarkEnd w:id="2"/>
    </w:p>
    <w:p w14:paraId="0D9CD4C8" w14:textId="77777777" w:rsidR="00BC2CE8" w:rsidRPr="00DD3766" w:rsidRDefault="00BC2CE8" w:rsidP="00BC2CE8">
      <w:pPr>
        <w:widowControl w:val="0"/>
        <w:autoSpaceDE w:val="0"/>
        <w:autoSpaceDN w:val="0"/>
        <w:adjustRightInd w:val="0"/>
        <w:spacing w:after="240" w:line="240" w:lineRule="auto"/>
        <w:jc w:val="both"/>
        <w:rPr>
          <w:rFonts w:ascii="Tahoma" w:hAnsi="Tahoma" w:cs="Tahoma"/>
          <w:sz w:val="28"/>
          <w:szCs w:val="28"/>
          <w:lang w:val="en-GB"/>
        </w:rPr>
      </w:pPr>
      <w:r w:rsidRPr="00DD3766">
        <w:rPr>
          <w:rFonts w:ascii="Tahoma" w:hAnsi="Tahoma" w:cs="Tahoma"/>
          <w:sz w:val="28"/>
          <w:szCs w:val="28"/>
          <w:lang w:val="en-GB"/>
        </w:rPr>
        <w:t xml:space="preserve">It is expected that national stakeholders will take lead and manage the GCF processes as well as other climate change finance mechanisms in line with the national priorities and requirements. The priorities and needs are to be based on the Uganda Vision 2040, National Development Plans (NDPs) National Climate Change Policy (NCCP), Nationally Determined Contributions (NDCs), the Uganda Green Growth Development Strategy (UGGDS) and other relevant Government policies and plans. For climate change finance mobilization processes to be successful national ownership is critical and it is therefore important that a country’s driven and coordinated approach is embraced by all stakeholders at an early stage complemented by building national capacities. </w:t>
      </w:r>
    </w:p>
    <w:p w14:paraId="549BAB43" w14:textId="77777777" w:rsidR="00CB7407" w:rsidRPr="00DD3766" w:rsidRDefault="00CB7407" w:rsidP="00CB7407">
      <w:pPr>
        <w:rPr>
          <w:rFonts w:ascii="Tahoma" w:hAnsi="Tahoma" w:cs="Tahoma"/>
          <w:sz w:val="28"/>
          <w:szCs w:val="28"/>
        </w:rPr>
      </w:pPr>
    </w:p>
    <w:sectPr w:rsidR="00CB7407" w:rsidRPr="00DD3766" w:rsidSect="00300804">
      <w:pgSz w:w="16834" w:h="11909"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E43CE"/>
    <w:multiLevelType w:val="multilevel"/>
    <w:tmpl w:val="0FF233E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i/>
        <w:iCs/>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66615B03"/>
    <w:multiLevelType w:val="hybridMultilevel"/>
    <w:tmpl w:val="030A159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E5B4B81"/>
    <w:multiLevelType w:val="hybridMultilevel"/>
    <w:tmpl w:val="35426CCA"/>
    <w:lvl w:ilvl="0" w:tplc="10000001">
      <w:start w:val="1"/>
      <w:numFmt w:val="bullet"/>
      <w:lvlText w:val=""/>
      <w:lvlJc w:val="left"/>
      <w:pPr>
        <w:ind w:left="360" w:hanging="360"/>
      </w:pPr>
      <w:rPr>
        <w:rFonts w:ascii="Symbol" w:hAnsi="Symbol" w:hint="default"/>
      </w:rPr>
    </w:lvl>
    <w:lvl w:ilvl="1" w:tplc="10000003">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804"/>
    <w:rsid w:val="00093C16"/>
    <w:rsid w:val="00123998"/>
    <w:rsid w:val="001801D9"/>
    <w:rsid w:val="002213CC"/>
    <w:rsid w:val="00300804"/>
    <w:rsid w:val="00366A71"/>
    <w:rsid w:val="0045093F"/>
    <w:rsid w:val="00497DBF"/>
    <w:rsid w:val="004A1776"/>
    <w:rsid w:val="004F4052"/>
    <w:rsid w:val="00564B21"/>
    <w:rsid w:val="005B031E"/>
    <w:rsid w:val="00605D0D"/>
    <w:rsid w:val="007977C3"/>
    <w:rsid w:val="008175C5"/>
    <w:rsid w:val="009C7C21"/>
    <w:rsid w:val="00A506F8"/>
    <w:rsid w:val="00A913F2"/>
    <w:rsid w:val="00BB6913"/>
    <w:rsid w:val="00BC2CE8"/>
    <w:rsid w:val="00CB7407"/>
    <w:rsid w:val="00CE2165"/>
    <w:rsid w:val="00DA5BA5"/>
    <w:rsid w:val="00DD3766"/>
    <w:rsid w:val="00E11023"/>
    <w:rsid w:val="00FC39CA"/>
    <w:rsid w:val="00FD172F"/>
    <w:rsid w:val="00FF3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0EAD"/>
  <w15:chartTrackingRefBased/>
  <w15:docId w15:val="{B8AF5601-3E7B-4D3E-9519-0CC7EB9E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31E"/>
  </w:style>
  <w:style w:type="paragraph" w:styleId="Heading1">
    <w:name w:val="heading 1"/>
    <w:basedOn w:val="Normal"/>
    <w:next w:val="Normal"/>
    <w:link w:val="Heading1Char"/>
    <w:uiPriority w:val="9"/>
    <w:qFormat/>
    <w:rsid w:val="00BC2CE8"/>
    <w:pPr>
      <w:keepNext/>
      <w:numPr>
        <w:numId w:val="3"/>
      </w:numPr>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uiPriority w:val="9"/>
    <w:unhideWhenUsed/>
    <w:qFormat/>
    <w:rsid w:val="00BC2CE8"/>
    <w:pPr>
      <w:keepNext/>
      <w:numPr>
        <w:ilvl w:val="1"/>
        <w:numId w:val="3"/>
      </w:numPr>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BC2CE8"/>
    <w:pPr>
      <w:keepNext/>
      <w:numPr>
        <w:ilvl w:val="2"/>
        <w:numId w:val="3"/>
      </w:numPr>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BC2CE8"/>
    <w:pPr>
      <w:keepNext/>
      <w:numPr>
        <w:ilvl w:val="3"/>
        <w:numId w:val="3"/>
      </w:numPr>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BC2CE8"/>
    <w:pPr>
      <w:numPr>
        <w:ilvl w:val="4"/>
        <w:numId w:val="3"/>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BC2CE8"/>
    <w:pPr>
      <w:numPr>
        <w:ilvl w:val="5"/>
        <w:numId w:val="3"/>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BC2CE8"/>
    <w:pPr>
      <w:numPr>
        <w:ilvl w:val="6"/>
        <w:numId w:val="3"/>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BC2CE8"/>
    <w:pPr>
      <w:numPr>
        <w:ilvl w:val="7"/>
        <w:numId w:val="3"/>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BC2CE8"/>
    <w:pPr>
      <w:numPr>
        <w:ilvl w:val="8"/>
        <w:numId w:val="3"/>
      </w:num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5B031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B031E"/>
    <w:rPr>
      <w:i/>
      <w:iCs/>
      <w:color w:val="5B9BD5" w:themeColor="accent1"/>
    </w:rPr>
  </w:style>
  <w:style w:type="paragraph" w:styleId="ListParagraph">
    <w:name w:val="List Paragraph"/>
    <w:aliases w:val="Heading3,Numbered List Paragraph,List Bullet Mary,List Paragraph (numbered (a)),Bullets,List Bullet-OpsManual,References,Title Style 1,Colorful List - Accent 11,Ha,MCHIP_list paragraph,List Paragraph1,Recommendation,Bullet List,FooterText"/>
    <w:basedOn w:val="Normal"/>
    <w:link w:val="ListParagraphChar"/>
    <w:uiPriority w:val="34"/>
    <w:qFormat/>
    <w:rsid w:val="00CB7407"/>
    <w:pPr>
      <w:suppressAutoHyphens/>
      <w:autoSpaceDN w:val="0"/>
      <w:spacing w:line="240" w:lineRule="auto"/>
      <w:ind w:left="720"/>
      <w:textAlignment w:val="baseline"/>
    </w:pPr>
    <w:rPr>
      <w:rFonts w:ascii="Calibri" w:eastAsia="Calibri" w:hAnsi="Calibri" w:cs="Times New Roman"/>
    </w:rPr>
  </w:style>
  <w:style w:type="character" w:customStyle="1" w:styleId="ListParagraphChar">
    <w:name w:val="List Paragraph Char"/>
    <w:aliases w:val="Heading3 Char,Numbered List Paragraph Char,List Bullet Mary Char,List Paragraph (numbered (a)) Char,Bullets Char,List Bullet-OpsManual Char,References Char,Title Style 1 Char,Colorful List - Accent 11 Char,Ha Char,Recommendation Char"/>
    <w:link w:val="ListParagraph"/>
    <w:uiPriority w:val="34"/>
    <w:qFormat/>
    <w:rsid w:val="00CB7407"/>
    <w:rPr>
      <w:rFonts w:ascii="Calibri" w:eastAsia="Calibri" w:hAnsi="Calibri" w:cs="Times New Roman"/>
    </w:rPr>
  </w:style>
  <w:style w:type="character" w:customStyle="1" w:styleId="Heading1Char">
    <w:name w:val="Heading 1 Char"/>
    <w:basedOn w:val="DefaultParagraphFont"/>
    <w:link w:val="Heading1"/>
    <w:uiPriority w:val="9"/>
    <w:rsid w:val="00BC2CE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BC2CE8"/>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BC2CE8"/>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BC2CE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C2CE8"/>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C2CE8"/>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C2CE8"/>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C2CE8"/>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C2CE8"/>
    <w:rPr>
      <w:rFonts w:ascii="Calibri Light" w:eastAsia="Times New Roman" w:hAnsi="Calibri Ligh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Light-Constantia">
      <a:majorFont>
        <a:latin typeface="Calibri Light"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Joshua Elaru</cp:lastModifiedBy>
  <cp:revision>3</cp:revision>
  <dcterms:created xsi:type="dcterms:W3CDTF">2020-08-20T10:05:00Z</dcterms:created>
  <dcterms:modified xsi:type="dcterms:W3CDTF">2020-08-20T12:41:00Z</dcterms:modified>
</cp:coreProperties>
</file>